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sz w:val="28"/>
          <w:szCs w:val="28"/>
        </w:rPr>
      </w:pPr>
    </w:p>
    <w:tbl>
      <w:tblPr>
        <w:tblStyle w:val="a3"/>
        <w:tblW w:w="964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986"/>
        <w:gridCol w:w="2409"/>
        <w:gridCol w:w="5245"/>
      </w:tblGrid>
      <w:tr w:rsidR="00531104" w:rsidTr="003B1863">
        <w:tc>
          <w:tcPr>
            <w:tcW w:w="1986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7654" w:type="dxa"/>
            <w:gridSpan w:val="2"/>
          </w:tcPr>
          <w:p w:rsidR="00531104" w:rsidRDefault="00251B3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劉佳鎮</w:t>
            </w:r>
          </w:p>
        </w:tc>
      </w:tr>
      <w:tr w:rsidR="00531104" w:rsidTr="003B1863">
        <w:trPr>
          <w:trHeight w:val="588"/>
        </w:trPr>
        <w:tc>
          <w:tcPr>
            <w:tcW w:w="1986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7654" w:type="dxa"/>
            <w:gridSpan w:val="2"/>
          </w:tcPr>
          <w:p w:rsidR="00531104" w:rsidRDefault="00251B39">
            <w:pPr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/>
                <w:sz w:val="28"/>
                <w:szCs w:val="28"/>
              </w:rPr>
              <w:t>體育課程設計</w:t>
            </w:r>
            <w:bookmarkEnd w:id="0"/>
          </w:p>
        </w:tc>
      </w:tr>
      <w:tr w:rsidR="00531104" w:rsidTr="003B1863">
        <w:tc>
          <w:tcPr>
            <w:tcW w:w="1986" w:type="dxa"/>
            <w:vMerge w:val="restart"/>
          </w:tcPr>
          <w:p w:rsidR="00531104" w:rsidRDefault="00531104" w:rsidP="00E17FBB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409" w:type="dxa"/>
          </w:tcPr>
          <w:p w:rsidR="00531104" w:rsidRDefault="00B526F9" w:rsidP="003B18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與其他課程不同之處</w:t>
            </w:r>
          </w:p>
        </w:tc>
        <w:tc>
          <w:tcPr>
            <w:tcW w:w="5245" w:type="dxa"/>
          </w:tcPr>
          <w:p w:rsidR="003B1863" w:rsidRDefault="003B1863" w:rsidP="003B1863">
            <w:pPr>
              <w:rPr>
                <w:rFonts w:eastAsia="標楷體" w:hAnsi="標楷體"/>
                <w:color w:val="000000"/>
                <w:szCs w:val="24"/>
              </w:rPr>
            </w:pPr>
            <w:r w:rsidRPr="007B702F">
              <w:rPr>
                <w:rFonts w:eastAsia="標楷體" w:hAnsi="標楷體"/>
                <w:color w:val="000000"/>
                <w:szCs w:val="24"/>
              </w:rPr>
              <w:t>隨著全球化與國際化的浪潮，科技與交通的便利，英語已成為世界主要的共通語</w:t>
            </w:r>
            <w:r w:rsidRPr="007B702F">
              <w:rPr>
                <w:rFonts w:eastAsia="標楷體" w:hAnsi="標楷體" w:hint="eastAsia"/>
                <w:color w:val="000000"/>
                <w:szCs w:val="24"/>
              </w:rPr>
              <w:t>，臺灣實施國家雙語政策，並以</w:t>
            </w:r>
            <w:r w:rsidRPr="007B702F">
              <w:rPr>
                <w:rFonts w:eastAsia="標楷體" w:hAnsi="標楷體" w:hint="eastAsia"/>
                <w:color w:val="000000"/>
                <w:szCs w:val="24"/>
              </w:rPr>
              <w:t>2030</w:t>
            </w:r>
            <w:r>
              <w:rPr>
                <w:rFonts w:eastAsia="標楷體" w:hAnsi="標楷體" w:hint="eastAsia"/>
                <w:color w:val="000000"/>
                <w:szCs w:val="24"/>
              </w:rPr>
              <w:t>年</w:t>
            </w:r>
            <w:r w:rsidRPr="007B702F">
              <w:rPr>
                <w:rFonts w:eastAsia="標楷體" w:hAnsi="標楷體" w:hint="eastAsia"/>
                <w:color w:val="000000"/>
                <w:szCs w:val="24"/>
              </w:rPr>
              <w:t>成為雙語國家為目標</w:t>
            </w:r>
            <w:r>
              <w:rPr>
                <w:rFonts w:eastAsia="標楷體" w:hAnsi="標楷體" w:hint="eastAsia"/>
                <w:color w:val="000000"/>
                <w:szCs w:val="24"/>
              </w:rPr>
              <w:t xml:space="preserve"> </w:t>
            </w:r>
            <w:r w:rsidRPr="007B702F">
              <w:rPr>
                <w:rFonts w:eastAsia="標楷體" w:hAnsi="標楷體"/>
                <w:color w:val="000000"/>
                <w:szCs w:val="24"/>
              </w:rPr>
              <w:t>(</w:t>
            </w:r>
            <w:r w:rsidRPr="007B702F">
              <w:rPr>
                <w:rFonts w:eastAsia="標楷體" w:hAnsi="標楷體"/>
                <w:color w:val="000000"/>
                <w:szCs w:val="24"/>
              </w:rPr>
              <w:t>行政院，</w:t>
            </w:r>
            <w:r w:rsidRPr="007B702F">
              <w:rPr>
                <w:rFonts w:eastAsia="標楷體" w:hAnsi="標楷體"/>
                <w:color w:val="000000"/>
                <w:szCs w:val="24"/>
              </w:rPr>
              <w:t>2018)</w:t>
            </w:r>
            <w:r w:rsidRPr="007B702F">
              <w:rPr>
                <w:rFonts w:eastAsia="標楷體" w:hAnsi="標楷體"/>
                <w:color w:val="000000"/>
                <w:szCs w:val="24"/>
              </w:rPr>
              <w:t>。</w:t>
            </w:r>
            <w:r w:rsidRPr="001C5190">
              <w:rPr>
                <w:rFonts w:eastAsia="標楷體" w:hAnsi="標楷體"/>
                <w:color w:val="000000"/>
                <w:szCs w:val="24"/>
              </w:rPr>
              <w:t>然而，我國推動雙語政策立意良善，但是現行雙語師資嚴重不足</w:t>
            </w:r>
            <w:r w:rsidRPr="001C5190">
              <w:rPr>
                <w:rFonts w:eastAsia="標楷體" w:hAnsi="標楷體"/>
                <w:color w:val="000000"/>
                <w:szCs w:val="24"/>
              </w:rPr>
              <w:t xml:space="preserve"> (</w:t>
            </w:r>
            <w:r w:rsidRPr="001C5190">
              <w:rPr>
                <w:rFonts w:eastAsia="標楷體" w:hAnsi="標楷體"/>
                <w:color w:val="000000"/>
                <w:szCs w:val="24"/>
              </w:rPr>
              <w:t>吳百玲，</w:t>
            </w:r>
            <w:r w:rsidRPr="001C5190">
              <w:rPr>
                <w:rFonts w:eastAsia="標楷體" w:hAnsi="標楷體"/>
                <w:color w:val="000000"/>
                <w:szCs w:val="24"/>
              </w:rPr>
              <w:t>2019</w:t>
            </w:r>
            <w:r w:rsidRPr="001C5190">
              <w:rPr>
                <w:rFonts w:eastAsia="標楷體" w:hAnsi="標楷體"/>
                <w:color w:val="000000"/>
                <w:szCs w:val="24"/>
              </w:rPr>
              <w:t>；廖偉民</w:t>
            </w:r>
            <w:r w:rsidRPr="007B702F">
              <w:rPr>
                <w:rFonts w:eastAsia="標楷體" w:hAnsi="標楷體"/>
                <w:color w:val="000000"/>
                <w:szCs w:val="24"/>
              </w:rPr>
              <w:t>，</w:t>
            </w:r>
            <w:r w:rsidRPr="007B702F">
              <w:rPr>
                <w:rFonts w:eastAsia="標楷體" w:hAnsi="標楷體"/>
                <w:color w:val="000000"/>
                <w:szCs w:val="24"/>
              </w:rPr>
              <w:t>2020)</w:t>
            </w:r>
            <w:r w:rsidRPr="007B702F">
              <w:rPr>
                <w:rFonts w:eastAsia="標楷體" w:hAnsi="標楷體"/>
                <w:color w:val="000000"/>
                <w:szCs w:val="24"/>
              </w:rPr>
              <w:t>，因此目前各縣市的試辦學校數量有限，臺灣需要擴大雙語教學師資培訓課程，才可以讓更多國中小學教師參與雙語課程的實踐，全面提升臺灣的雙語教育成效</w:t>
            </w:r>
            <w:r w:rsidRPr="007B702F">
              <w:rPr>
                <w:rFonts w:eastAsia="標楷體" w:hAnsi="標楷體"/>
                <w:color w:val="000000"/>
                <w:szCs w:val="24"/>
              </w:rPr>
              <w:t xml:space="preserve"> (</w:t>
            </w:r>
            <w:r w:rsidRPr="007B702F">
              <w:rPr>
                <w:rFonts w:eastAsia="標楷體" w:hAnsi="標楷體"/>
                <w:color w:val="000000"/>
                <w:szCs w:val="24"/>
              </w:rPr>
              <w:t>鄒文莉，</w:t>
            </w:r>
            <w:r w:rsidRPr="007B702F">
              <w:rPr>
                <w:rFonts w:eastAsia="標楷體" w:hAnsi="標楷體"/>
                <w:color w:val="000000"/>
                <w:szCs w:val="24"/>
              </w:rPr>
              <w:t>2020)</w:t>
            </w:r>
            <w:r w:rsidRPr="007B702F">
              <w:rPr>
                <w:rFonts w:eastAsia="標楷體" w:hAnsi="標楷體"/>
                <w:color w:val="000000"/>
                <w:szCs w:val="24"/>
              </w:rPr>
              <w:t>。</w:t>
            </w:r>
            <w:r w:rsidRPr="001C5190">
              <w:rPr>
                <w:rFonts w:eastAsia="標楷體" w:hAnsi="標楷體"/>
                <w:color w:val="000000"/>
                <w:szCs w:val="24"/>
              </w:rPr>
              <w:t>學科語言</w:t>
            </w:r>
            <w:r>
              <w:rPr>
                <w:rFonts w:eastAsia="標楷體" w:hAnsi="標楷體" w:hint="eastAsia"/>
                <w:color w:val="000000"/>
                <w:szCs w:val="24"/>
              </w:rPr>
              <w:t>在雙語教學中，更對於學習者之學科專業知識的</w:t>
            </w:r>
            <w:r>
              <w:rPr>
                <w:rFonts w:eastAsia="標楷體" w:hAnsi="標楷體"/>
                <w:color w:val="000000"/>
                <w:szCs w:val="24"/>
              </w:rPr>
              <w:t>學習</w:t>
            </w:r>
            <w:r>
              <w:rPr>
                <w:rFonts w:eastAsia="標楷體" w:hAnsi="標楷體" w:hint="eastAsia"/>
                <w:color w:val="000000"/>
                <w:szCs w:val="24"/>
              </w:rPr>
              <w:t>扮演極</w:t>
            </w:r>
            <w:r w:rsidRPr="001C5190">
              <w:rPr>
                <w:rFonts w:eastAsia="標楷體" w:hAnsi="標楷體"/>
                <w:color w:val="000000"/>
                <w:szCs w:val="24"/>
              </w:rPr>
              <w:t>重要</w:t>
            </w:r>
            <w:r>
              <w:rPr>
                <w:rFonts w:eastAsia="標楷體" w:hAnsi="標楷體" w:hint="eastAsia"/>
                <w:color w:val="000000"/>
                <w:szCs w:val="24"/>
              </w:rPr>
              <w:t>的關鍵</w:t>
            </w:r>
            <w:r>
              <w:rPr>
                <w:rFonts w:eastAsia="標楷體" w:hAnsi="標楷體" w:hint="eastAsia"/>
                <w:color w:val="000000"/>
                <w:szCs w:val="24"/>
              </w:rPr>
              <w:t xml:space="preserve"> (</w:t>
            </w:r>
            <w:r w:rsidRPr="001C5190">
              <w:rPr>
                <w:rFonts w:eastAsia="標楷體" w:hAnsi="標楷體"/>
                <w:color w:val="000000"/>
                <w:szCs w:val="24"/>
              </w:rPr>
              <w:t>Linares &amp; Morton</w:t>
            </w:r>
            <w:r>
              <w:rPr>
                <w:rFonts w:eastAsia="標楷體" w:hAnsi="標楷體" w:hint="eastAsia"/>
                <w:color w:val="000000"/>
                <w:szCs w:val="24"/>
              </w:rPr>
              <w:t>,</w:t>
            </w:r>
            <w:r w:rsidRPr="001C5190">
              <w:rPr>
                <w:rFonts w:eastAsia="標楷體" w:hAnsi="標楷體"/>
                <w:color w:val="000000"/>
                <w:szCs w:val="24"/>
              </w:rPr>
              <w:t xml:space="preserve"> 2012</w:t>
            </w:r>
            <w:r>
              <w:rPr>
                <w:rFonts w:eastAsia="標楷體" w:hAnsi="標楷體" w:hint="eastAsia"/>
                <w:color w:val="000000"/>
                <w:szCs w:val="24"/>
              </w:rPr>
              <w:t>)</w:t>
            </w:r>
            <w:r w:rsidRPr="001C5190">
              <w:rPr>
                <w:rFonts w:eastAsia="標楷體" w:hAnsi="標楷體"/>
                <w:color w:val="000000"/>
                <w:szCs w:val="24"/>
              </w:rPr>
              <w:t>，因為它輔助學科內容的學習</w:t>
            </w:r>
            <w:r w:rsidRPr="001C5190">
              <w:rPr>
                <w:rFonts w:eastAsia="標楷體" w:hAnsi="標楷體" w:hint="eastAsia"/>
                <w:color w:val="000000"/>
                <w:szCs w:val="24"/>
              </w:rPr>
              <w:t>，</w:t>
            </w:r>
            <w:r w:rsidRPr="001C5190">
              <w:rPr>
                <w:rFonts w:eastAsia="標楷體" w:hAnsi="標楷體"/>
                <w:color w:val="000000"/>
                <w:szCs w:val="24"/>
              </w:rPr>
              <w:t>並幫助學生學習學科特定的溝通與思維方式。</w:t>
            </w:r>
          </w:p>
          <w:p w:rsidR="00531104" w:rsidRDefault="003B1863" w:rsidP="003B1863">
            <w:pPr>
              <w:rPr>
                <w:sz w:val="28"/>
                <w:szCs w:val="28"/>
              </w:rPr>
            </w:pPr>
            <w:r>
              <w:rPr>
                <w:rFonts w:eastAsia="標楷體" w:hAnsi="標楷體" w:hint="eastAsia"/>
                <w:color w:val="000000"/>
                <w:szCs w:val="24"/>
              </w:rPr>
              <w:t>本課程將基於</w:t>
            </w:r>
            <w:r w:rsidRPr="00E508ED">
              <w:rPr>
                <w:rFonts w:eastAsia="標楷體" w:hint="eastAsia"/>
                <w:color w:val="000000"/>
                <w:szCs w:val="24"/>
              </w:rPr>
              <w:t>Shulman (1986</w:t>
            </w:r>
            <w:r w:rsidRPr="00E508ED">
              <w:rPr>
                <w:rFonts w:eastAsia="標楷體" w:hint="eastAsia"/>
                <w:color w:val="000000"/>
                <w:szCs w:val="24"/>
              </w:rPr>
              <w:t>，</w:t>
            </w:r>
            <w:r w:rsidRPr="00E508ED">
              <w:rPr>
                <w:rFonts w:eastAsia="標楷體" w:hint="eastAsia"/>
                <w:color w:val="000000"/>
                <w:szCs w:val="24"/>
              </w:rPr>
              <w:t xml:space="preserve">1987) </w:t>
            </w:r>
            <w:r w:rsidRPr="00E508ED">
              <w:rPr>
                <w:rFonts w:eastAsia="標楷體" w:hint="eastAsia"/>
                <w:color w:val="000000"/>
                <w:szCs w:val="24"/>
              </w:rPr>
              <w:t>提出的「學科教學知識」</w:t>
            </w:r>
            <w:r>
              <w:rPr>
                <w:rFonts w:eastAsia="標楷體" w:hint="eastAsia"/>
                <w:color w:val="000000"/>
                <w:szCs w:val="24"/>
              </w:rPr>
              <w:t>(</w:t>
            </w:r>
            <w:r w:rsidRPr="00E508ED">
              <w:rPr>
                <w:rFonts w:eastAsia="標楷體" w:hint="eastAsia"/>
                <w:color w:val="000000"/>
                <w:szCs w:val="24"/>
              </w:rPr>
              <w:t>pedagogical content knowledge, PCK</w:t>
            </w:r>
            <w:r>
              <w:rPr>
                <w:rFonts w:eastAsia="標楷體" w:hint="eastAsia"/>
                <w:color w:val="000000"/>
                <w:szCs w:val="24"/>
              </w:rPr>
              <w:t xml:space="preserve">) </w:t>
            </w:r>
            <w:r w:rsidRPr="00E508ED">
              <w:rPr>
                <w:rFonts w:eastAsia="標楷體" w:hint="eastAsia"/>
                <w:color w:val="000000"/>
                <w:szCs w:val="24"/>
              </w:rPr>
              <w:t>的概念，</w:t>
            </w:r>
            <w:r>
              <w:rPr>
                <w:rFonts w:eastAsia="標楷體" w:hint="eastAsia"/>
                <w:color w:val="000000"/>
                <w:szCs w:val="24"/>
              </w:rPr>
              <w:t>加強師資生對於</w:t>
            </w:r>
            <w:r w:rsidRPr="00E508ED">
              <w:rPr>
                <w:rFonts w:eastAsia="標楷體" w:hint="eastAsia"/>
                <w:color w:val="000000"/>
                <w:szCs w:val="24"/>
              </w:rPr>
              <w:t>「學科知識」</w:t>
            </w:r>
            <w:r>
              <w:rPr>
                <w:rFonts w:eastAsia="標楷體" w:hint="eastAsia"/>
                <w:color w:val="000000"/>
                <w:szCs w:val="24"/>
              </w:rPr>
              <w:t>(</w:t>
            </w:r>
            <w:r w:rsidRPr="00E508ED">
              <w:rPr>
                <w:rFonts w:eastAsia="標楷體" w:hint="eastAsia"/>
                <w:color w:val="000000"/>
                <w:szCs w:val="24"/>
              </w:rPr>
              <w:t>content knowledge</w:t>
            </w:r>
            <w:r>
              <w:rPr>
                <w:rFonts w:eastAsia="標楷體" w:hint="eastAsia"/>
                <w:color w:val="000000"/>
                <w:szCs w:val="24"/>
              </w:rPr>
              <w:t>)</w:t>
            </w:r>
            <w:r w:rsidRPr="00E508ED">
              <w:rPr>
                <w:rFonts w:eastAsia="標楷體" w:hint="eastAsia"/>
                <w:color w:val="000000"/>
                <w:szCs w:val="24"/>
              </w:rPr>
              <w:t>以及一般的「教學知識」</w:t>
            </w:r>
            <w:r>
              <w:rPr>
                <w:rFonts w:eastAsia="標楷體" w:hint="eastAsia"/>
                <w:color w:val="000000"/>
                <w:szCs w:val="24"/>
              </w:rPr>
              <w:t>(</w:t>
            </w:r>
            <w:r w:rsidRPr="00E508ED">
              <w:rPr>
                <w:rFonts w:eastAsia="標楷體" w:hint="eastAsia"/>
                <w:color w:val="000000"/>
                <w:szCs w:val="24"/>
              </w:rPr>
              <w:t>pedagogical knowledge</w:t>
            </w:r>
            <w:r>
              <w:rPr>
                <w:rFonts w:eastAsia="標楷體" w:hint="eastAsia"/>
                <w:color w:val="000000"/>
                <w:szCs w:val="24"/>
              </w:rPr>
              <w:t>)</w:t>
            </w:r>
            <w:r>
              <w:rPr>
                <w:rFonts w:eastAsia="標楷體" w:hint="eastAsia"/>
                <w:color w:val="000000"/>
                <w:szCs w:val="24"/>
              </w:rPr>
              <w:t>外</w:t>
            </w:r>
            <w:r w:rsidRPr="00E508ED">
              <w:rPr>
                <w:rFonts w:eastAsia="標楷體" w:hint="eastAsia"/>
                <w:color w:val="000000"/>
                <w:szCs w:val="24"/>
              </w:rPr>
              <w:t>，</w:t>
            </w:r>
            <w:r>
              <w:rPr>
                <w:rFonts w:eastAsia="標楷體" w:hint="eastAsia"/>
                <w:color w:val="000000"/>
                <w:szCs w:val="24"/>
              </w:rPr>
              <w:t>更能了解如何利用雙語教學的方式</w:t>
            </w:r>
            <w:r w:rsidRPr="00E508ED">
              <w:rPr>
                <w:rFonts w:eastAsia="標楷體" w:hint="eastAsia"/>
                <w:color w:val="000000"/>
                <w:szCs w:val="24"/>
              </w:rPr>
              <w:t>將學科知識統整轉化，以易於學生理解與學習的方式</w:t>
            </w:r>
            <w:r>
              <w:rPr>
                <w:rFonts w:eastAsia="標楷體" w:hint="eastAsia"/>
                <w:color w:val="000000"/>
                <w:szCs w:val="24"/>
              </w:rPr>
              <w:t>，透過融入英語進行</w:t>
            </w:r>
            <w:r w:rsidRPr="00E508ED">
              <w:rPr>
                <w:rFonts w:eastAsia="標楷體" w:hint="eastAsia"/>
                <w:color w:val="000000"/>
                <w:szCs w:val="24"/>
              </w:rPr>
              <w:t>呈現。</w:t>
            </w:r>
          </w:p>
        </w:tc>
      </w:tr>
      <w:tr w:rsidR="00531104" w:rsidTr="003B1863">
        <w:tc>
          <w:tcPr>
            <w:tcW w:w="198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5245" w:type="dxa"/>
          </w:tcPr>
          <w:p w:rsidR="00531104" w:rsidRPr="003B1863" w:rsidRDefault="003B1863" w:rsidP="003B1863">
            <w:pPr>
              <w:pStyle w:val="a4"/>
              <w:numPr>
                <w:ilvl w:val="0"/>
                <w:numId w:val="2"/>
              </w:numPr>
              <w:snapToGrid w:val="0"/>
              <w:ind w:leftChars="0" w:left="357" w:hanging="357"/>
              <w:rPr>
                <w:sz w:val="28"/>
                <w:szCs w:val="28"/>
              </w:rPr>
            </w:pPr>
            <w:r w:rsidRPr="003B1863">
              <w:rPr>
                <w:rFonts w:hint="eastAsia"/>
                <w:sz w:val="28"/>
                <w:szCs w:val="28"/>
              </w:rPr>
              <w:t>使用英文教材進行授課</w:t>
            </w:r>
          </w:p>
          <w:p w:rsidR="003B1863" w:rsidRPr="003B1863" w:rsidRDefault="003B1863" w:rsidP="003B1863">
            <w:pPr>
              <w:pStyle w:val="a4"/>
              <w:numPr>
                <w:ilvl w:val="0"/>
                <w:numId w:val="2"/>
              </w:numPr>
              <w:snapToGrid w:val="0"/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雙語教學實作課程進行全英文授課</w:t>
            </w:r>
          </w:p>
        </w:tc>
      </w:tr>
      <w:tr w:rsidR="00531104" w:rsidTr="003B1863">
        <w:tc>
          <w:tcPr>
            <w:tcW w:w="198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5245" w:type="dxa"/>
          </w:tcPr>
          <w:p w:rsidR="00531104" w:rsidRDefault="003B18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請先行點閱</w:t>
            </w:r>
          </w:p>
          <w:p w:rsidR="003B1863" w:rsidRDefault="001A531D">
            <w:pPr>
              <w:rPr>
                <w:sz w:val="28"/>
                <w:szCs w:val="28"/>
              </w:rPr>
            </w:pPr>
            <w:hyperlink r:id="rId7" w:history="1">
              <w:r w:rsidR="003B1863" w:rsidRPr="00E366ED">
                <w:rPr>
                  <w:rStyle w:val="ab"/>
                  <w:sz w:val="28"/>
                  <w:szCs w:val="28"/>
                </w:rPr>
                <w:t>http://immersion.ntue.edu.tw/main/Study/detail?id=77</w:t>
              </w:r>
            </w:hyperlink>
          </w:p>
          <w:p w:rsidR="003B1863" w:rsidRDefault="003B1863">
            <w:pPr>
              <w:rPr>
                <w:sz w:val="28"/>
                <w:szCs w:val="28"/>
              </w:rPr>
            </w:pPr>
          </w:p>
        </w:tc>
      </w:tr>
      <w:tr w:rsidR="00531104" w:rsidTr="003B1863">
        <w:tc>
          <w:tcPr>
            <w:tcW w:w="198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5245" w:type="dxa"/>
          </w:tcPr>
          <w:p w:rsidR="00531104" w:rsidRDefault="00531104">
            <w:pPr>
              <w:rPr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/>
    <w:sectPr w:rsidR="0053110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31D" w:rsidRDefault="001A531D" w:rsidP="00531104">
      <w:r>
        <w:separator/>
      </w:r>
    </w:p>
  </w:endnote>
  <w:endnote w:type="continuationSeparator" w:id="0">
    <w:p w:rsidR="001A531D" w:rsidRDefault="001A531D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31D" w:rsidRDefault="001A531D" w:rsidP="00531104">
      <w:r>
        <w:separator/>
      </w:r>
    </w:p>
  </w:footnote>
  <w:footnote w:type="continuationSeparator" w:id="0">
    <w:p w:rsidR="001A531D" w:rsidRDefault="001A531D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6F590B"/>
    <w:multiLevelType w:val="hybridMultilevel"/>
    <w:tmpl w:val="AF38855A"/>
    <w:lvl w:ilvl="0" w:tplc="6A6629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4227B"/>
    <w:rsid w:val="001A531D"/>
    <w:rsid w:val="001D20A8"/>
    <w:rsid w:val="00251B39"/>
    <w:rsid w:val="00386479"/>
    <w:rsid w:val="003B1863"/>
    <w:rsid w:val="00531104"/>
    <w:rsid w:val="00556E89"/>
    <w:rsid w:val="006862B9"/>
    <w:rsid w:val="00982B09"/>
    <w:rsid w:val="0099715A"/>
    <w:rsid w:val="00B526F9"/>
    <w:rsid w:val="00C85437"/>
    <w:rsid w:val="00D86F1B"/>
    <w:rsid w:val="00E17FBB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C06A9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immersion.ntue.edu.tw/main/Study/detail?id=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2022-01-17T08:23:00Z</cp:lastPrinted>
  <dcterms:created xsi:type="dcterms:W3CDTF">2022-02-11T01:57:00Z</dcterms:created>
  <dcterms:modified xsi:type="dcterms:W3CDTF">2022-02-11T01:57:00Z</dcterms:modified>
</cp:coreProperties>
</file>